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F4" w:rsidRPr="006051FA" w:rsidRDefault="002320E5" w:rsidP="002320E5">
      <w:pPr>
        <w:widowControl/>
        <w:spacing w:line="360" w:lineRule="auto"/>
        <w:ind w:firstLineChars="100" w:firstLine="320"/>
        <w:jc w:val="center"/>
        <w:rPr>
          <w:rFonts w:ascii="Times New Roman" w:eastAsia="黑体" w:hAnsi="Times New Roman"/>
          <w:b/>
          <w:kern w:val="0"/>
          <w:sz w:val="32"/>
          <w:szCs w:val="32"/>
        </w:rPr>
      </w:pP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廈門大學</w:t>
      </w:r>
      <w:r w:rsidR="00597146" w:rsidRPr="00597146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信息科學</w:t>
      </w: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與技術學院</w:t>
      </w:r>
      <w:r w:rsidRPr="002320E5">
        <w:rPr>
          <w:rFonts w:ascii="Times New Roman" w:eastAsia="PMingLiU" w:hAnsi="Times New Roman"/>
          <w:b/>
          <w:kern w:val="0"/>
          <w:sz w:val="32"/>
          <w:szCs w:val="32"/>
          <w:lang w:eastAsia="zh-TW"/>
        </w:rPr>
        <w:t>2015</w:t>
      </w: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年港澳臺博士招生</w:t>
      </w:r>
    </w:p>
    <w:p w:rsidR="000855F3" w:rsidRPr="006051FA" w:rsidRDefault="002320E5" w:rsidP="002320E5">
      <w:pPr>
        <w:widowControl/>
        <w:spacing w:line="360" w:lineRule="auto"/>
        <w:ind w:firstLineChars="100" w:firstLine="320"/>
        <w:jc w:val="center"/>
        <w:rPr>
          <w:rFonts w:ascii="Times New Roman" w:eastAsia="黑体" w:hAnsi="Times New Roman"/>
          <w:b/>
          <w:kern w:val="0"/>
          <w:sz w:val="32"/>
          <w:szCs w:val="32"/>
        </w:rPr>
      </w:pPr>
      <w:r w:rsidRPr="002320E5">
        <w:rPr>
          <w:rFonts w:ascii="Times New Roman" w:eastAsia="PMingLiU" w:hAnsi="Times New Roman"/>
          <w:b/>
          <w:kern w:val="0"/>
          <w:sz w:val="32"/>
          <w:szCs w:val="32"/>
          <w:lang w:eastAsia="zh-TW"/>
        </w:rPr>
        <w:t>“</w:t>
      </w: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申請</w:t>
      </w:r>
      <w:r w:rsidRPr="002320E5">
        <w:rPr>
          <w:rFonts w:ascii="Times New Roman" w:eastAsia="PMingLiU" w:hAnsi="Times New Roman"/>
          <w:b/>
          <w:kern w:val="0"/>
          <w:sz w:val="32"/>
          <w:szCs w:val="32"/>
          <w:lang w:eastAsia="zh-TW"/>
        </w:rPr>
        <w:t>-</w:t>
      </w: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考核制</w:t>
      </w:r>
      <w:r w:rsidRPr="002320E5">
        <w:rPr>
          <w:rFonts w:ascii="Times New Roman" w:eastAsia="PMingLiU" w:hAnsi="Times New Roman"/>
          <w:b/>
          <w:kern w:val="0"/>
          <w:sz w:val="32"/>
          <w:szCs w:val="32"/>
          <w:lang w:eastAsia="zh-TW"/>
        </w:rPr>
        <w:t>”</w:t>
      </w:r>
      <w:r w:rsidRPr="002320E5">
        <w:rPr>
          <w:rFonts w:ascii="Times New Roman" w:eastAsia="PMingLiU" w:hAnsi="Times New Roman" w:hint="eastAsia"/>
          <w:b/>
          <w:kern w:val="0"/>
          <w:sz w:val="32"/>
          <w:szCs w:val="32"/>
          <w:lang w:eastAsia="zh-TW"/>
        </w:rPr>
        <w:t>選拔辦法</w:t>
      </w:r>
    </w:p>
    <w:p w:rsidR="00E844D7" w:rsidRPr="006051FA" w:rsidRDefault="00E844D7" w:rsidP="00E844D7">
      <w:pPr>
        <w:widowControl/>
        <w:spacing w:line="360" w:lineRule="auto"/>
        <w:ind w:firstLineChars="100" w:firstLine="240"/>
        <w:jc w:val="center"/>
        <w:rPr>
          <w:rFonts w:ascii="Times New Roman" w:hAnsi="Times New Roman"/>
          <w:kern w:val="0"/>
          <w:sz w:val="24"/>
          <w:szCs w:val="24"/>
        </w:rPr>
      </w:pPr>
      <w:bookmarkStart w:id="0" w:name="_GoBack"/>
      <w:bookmarkEnd w:id="0"/>
    </w:p>
    <w:p w:rsidR="0097337A" w:rsidRPr="006051FA" w:rsidRDefault="00597146" w:rsidP="00C92FE2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信息科學</w:t>
      </w:r>
      <w:r w:rsidR="002320E5"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與技術學院坐落在廈門大學海韻園內，是廈門大學規模最大的學院之一，毗鄰美麗的珍珠灣。目前資訊學院的主要研究方向包括：水聲通信、無線通訊、影像處理、衛星導航、雷射技術及應用、積體電路設計、微波與天線、仿腦智慧系統、自然語言處理、模式識別與機器視覺、醫學影像分析、遙感與空間資訊系統、程序控制、管理與決策支援系統、生物資訊學等。各個領域都積聚了雄厚的師資力量，擁有一流的創新團隊。</w:t>
      </w:r>
    </w:p>
    <w:p w:rsidR="0097337A" w:rsidRPr="006051FA" w:rsidRDefault="00597146" w:rsidP="0097337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信息科學</w:t>
      </w:r>
      <w:r w:rsidR="002320E5"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與技術學院堅持研究型和國際化的辦學定位，在</w:t>
      </w:r>
      <w:r w:rsidR="002320E5"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="002320E5"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“立足海西、依託行業、服務社會、面向世界”的辦學思想指導下，以學科建設為基礎，以隊伍建設為核心，以人才培養、科學研究和社會服務為宗旨，以支援國防為特色，以創新能力提升為突破口，大力推進協同創新，全面提升辦學品質，使我們培養的學生更符合國家、社會和地方經濟建設的需求。</w:t>
      </w:r>
    </w:p>
    <w:p w:rsidR="0097337A" w:rsidRPr="006051FA" w:rsidRDefault="002320E5" w:rsidP="0097337A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</w:t>
      </w:r>
      <w:r w:rsidR="00597146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信息科學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與技術學院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年招收臺灣、香港、澳門博士生全面實行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申請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-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考核制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，錄取方式的具體實施辦法如下：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一、申請資格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1.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持有香港、澳門永久性居民身份證和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港澳居民來往內地通行證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的香港、澳門考生或持有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臺灣居民來往大陸通行證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的臺灣考生。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2.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須具有與內地（祖國大陸）碩士學位相當的學位或同等學歷。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3.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品德良好、身體健康。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4.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有兩名與報考專業相關的副教授以上或相當職稱的學者書面推薦。</w:t>
      </w:r>
    </w:p>
    <w:p w:rsidR="000855F3" w:rsidRPr="006051FA" w:rsidRDefault="002320E5" w:rsidP="000855F3">
      <w:pPr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lastRenderedPageBreak/>
        <w:t>二、招生類別</w:t>
      </w:r>
    </w:p>
    <w:p w:rsidR="000855F3" w:rsidRPr="006051FA" w:rsidRDefault="002320E5" w:rsidP="000855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自費全日制博士研究生。</w:t>
      </w:r>
    </w:p>
    <w:p w:rsidR="000855F3" w:rsidRPr="006051FA" w:rsidRDefault="002320E5" w:rsidP="0097337A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自費全日制學生為全脫產學習，可以申請教育部、福建省政府和寶鋼教育基金會為全日制港澳臺學生設立的獎學金。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三、學制和在學年限（含休學、保留學籍）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學制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4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年。在校年限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3 — 7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年（含休學），在校年限是指學生學籍在校的年限。有能力提前完成學業、符合畢業條件的博士生可按我校的相關規定申請提前畢業。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四、招生專業</w:t>
      </w:r>
    </w:p>
    <w:p w:rsidR="000855F3" w:rsidRPr="006051FA" w:rsidRDefault="002320E5" w:rsidP="00E11FA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參見“廈門大學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年港澳臺博士研究生招生專業目錄”（</w:t>
      </w:r>
      <w:hyperlink r:id="rId8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http://zs.xmu.edu.cn</w:t>
        </w:r>
      </w:hyperlink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）。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五、報名程式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1.</w:t>
      </w: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報名時間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2014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11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20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日至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12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19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日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2.</w:t>
      </w: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報名地點：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①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北京理工大學（研究生院）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地址：北京海澱區中關村南大街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5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號，郵遞區號：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100081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(010)68945819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(010)68945112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②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廣東省教育考試院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地址：廣州市中山大道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69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號，郵遞區號：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510631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(020)38627813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(020)38627826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③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京港學術交流中心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地址：香港北角英皇道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83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號聯合出版大廈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14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樓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(00852)28936355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(00852)28345519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④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澳門高等教育輔助辦公室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地址：澳門羅利基博士大馬路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614A -640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號龍城大廈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: (00853)28345403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(00853)28701076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澳門高等教育輔助辦公室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—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大學生中心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地址：澳門何蘭園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68-B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號華昌大廈地下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B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座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(00853)28563533,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圖文傳真：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(00853)28563722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3.</w:t>
      </w: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報名手續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報名時考生須提交以下資料：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(1)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本人居住地身份證件副本（香港、澳門考生持香港、澳門永久性居民身份證和“港澳居民來往內地通行證”；臺灣考生持“臺灣居民來往大陸通行證”）；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(2)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《香港、澳門、臺灣人士攻讀內地（祖國大陸）招生單位碩士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/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博士學位申請表》；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(3)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近期正面半身免冠同一底片的二寸照片兩張；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(4)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碩士學位證書副本或同等學力文憑副本，應屆畢業生須提交學校教務部門出具的預畢業證明。（持海外教育機構學歷的，報考點或我校有要求的，應到中國教育部留學服務中心認證。持預畢業證明者報考者須在開學報到前提交最高學位證書，否則錄取資格將被取消。）；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(5)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攻讀碩士學位的成績單；</w:t>
      </w:r>
    </w:p>
    <w:p w:rsidR="00ED1988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(6)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兩名與報考專業相關的副教授及以上或相當職稱的學者書面推薦（包括學生的學習能力、科研潛力、英語水準和學生心智成熟度的評價）；</w:t>
      </w:r>
    </w:p>
    <w:p w:rsidR="00E3201D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(7)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體格檢查報告；</w:t>
      </w:r>
    </w:p>
    <w:p w:rsidR="00ED1988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以上為教育部規定的基本報名資料，請考生郵寄到指定報考點。</w:t>
      </w:r>
    </w:p>
    <w:p w:rsidR="0097337A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學院要求提交的補充資料：</w:t>
      </w:r>
    </w:p>
    <w:p w:rsidR="0097337A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(1)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個人陳述（主要包括外語水準、業務和科研能力、研究計畫等方面內容）；</w:t>
      </w:r>
      <w:r w:rsidR="0097337A" w:rsidRPr="006051FA">
        <w:rPr>
          <w:rFonts w:ascii="Times New Roman" w:hAnsi="Times New Roman" w:hint="eastAsia"/>
          <w:kern w:val="0"/>
          <w:sz w:val="24"/>
          <w:szCs w:val="24"/>
        </w:rPr>
        <w:t xml:space="preserve"> </w:t>
      </w:r>
    </w:p>
    <w:p w:rsidR="0097337A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(2)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擬攻讀博士學位的研究計畫（研究的目的性、創新性、邏輯性等）；</w:t>
      </w:r>
    </w:p>
    <w:p w:rsidR="0097337A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(3)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碩士學位論文摘要、其它科研成果和獲獎證書等資料的影本；學習和工作經歷、經驗、能力、公開發表的學術論文、所獲專利及其他原創性研究成果的陳述和證明影本；</w:t>
      </w:r>
    </w:p>
    <w:p w:rsidR="00E844D7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(4)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英語水準能力證書影本。</w:t>
      </w:r>
    </w:p>
    <w:p w:rsidR="00404522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以上為學院要求的補充資料，請考生郵寄給本院魏老師（郵寄位址詳見最後聯繫方式），並注明：港澳臺博士生“申請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-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考核制”補充資料。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4.</w:t>
      </w: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廈門大學代碼：</w:t>
      </w:r>
      <w:r w:rsidRPr="002320E5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10384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所提交材料不退還。若發現材料造假者，包括學術造假或抄襲，即使已被錄取，也將取消博士錄取資格，已入學者退學處理。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六、申請資格審查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生的報名資料通過報考點和招生辦的資格審查後，將送學院進行學術審查。學院收到考生的報名資料和補充資料後，由院系專家組對考生提供的申請材料所體現的專業基礎、學術背景、科研經歷及成果、專家推薦情況、擬攻讀博士學位的研究計畫等，進行認真評審。學院根據評審結果確定入圍考核名單，入圍考核名單報招生辦審核後在學院網站公佈，學院通知入圍者參加考核。</w:t>
      </w:r>
    </w:p>
    <w:p w:rsidR="00E704CE" w:rsidRDefault="002320E5" w:rsidP="00E704CE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七、面（筆）試考核</w:t>
      </w:r>
    </w:p>
    <w:p w:rsidR="00E704CE" w:rsidRPr="00E704CE" w:rsidRDefault="002320E5" w:rsidP="00E704CE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考生前來參加考核時，需攜帶碩士學位證書原件或同等學歷證明（應屆生帶學生證或在學證明）和身份證件原件到我院接受核查。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b/>
          <w:kern w:val="0"/>
          <w:sz w:val="24"/>
          <w:szCs w:val="24"/>
          <w:lang w:eastAsia="zh-TW"/>
        </w:rPr>
        <w:lastRenderedPageBreak/>
        <w:t>1.</w:t>
      </w:r>
      <w:r w:rsidRPr="002320E5">
        <w:rPr>
          <w:rFonts w:ascii="宋体" w:eastAsia="PMingLiU" w:hAnsi="宋体" w:cs="宋体" w:hint="eastAsia"/>
          <w:b/>
          <w:kern w:val="0"/>
          <w:sz w:val="24"/>
          <w:szCs w:val="24"/>
          <w:lang w:eastAsia="zh-TW"/>
        </w:rPr>
        <w:t>考核時間：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2015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年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3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月下旬或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4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月上旬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 (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具體安排以學院通知為准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)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b/>
          <w:kern w:val="0"/>
          <w:sz w:val="24"/>
          <w:szCs w:val="24"/>
          <w:lang w:eastAsia="zh-TW"/>
        </w:rPr>
        <w:t>2.</w:t>
      </w:r>
      <w:r w:rsidRPr="002320E5">
        <w:rPr>
          <w:rFonts w:ascii="宋体" w:eastAsia="PMingLiU" w:hAnsi="宋体" w:cs="宋体" w:hint="eastAsia"/>
          <w:b/>
          <w:kern w:val="0"/>
          <w:sz w:val="24"/>
          <w:szCs w:val="24"/>
          <w:lang w:eastAsia="zh-TW"/>
        </w:rPr>
        <w:t>考核主要內容：</w:t>
      </w:r>
      <w:r w:rsidR="00E704CE" w:rsidRPr="00E704CE">
        <w:rPr>
          <w:rFonts w:ascii="宋体" w:hAnsi="宋体" w:cs="宋体"/>
          <w:b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專業素質和能力考核：主要考核考生的專業基礎、知識結構和實際動手能力等。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外語能力考核：主要考核考生的聽力、口語、閱讀、寫作能力。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綜合素質和能力考核：重點考察考生攻讀博士學位的目的、科研興趣和態度，科研工作背景和學術研究經歷，重點考查考生以往科研成果，綜合評價考生的科學素養、個人品性、創新能力和培養潛力等。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b/>
          <w:kern w:val="0"/>
          <w:sz w:val="24"/>
          <w:szCs w:val="24"/>
          <w:lang w:eastAsia="zh-TW"/>
        </w:rPr>
        <w:t>3.</w:t>
      </w:r>
      <w:r w:rsidRPr="002320E5">
        <w:rPr>
          <w:rFonts w:ascii="宋体" w:eastAsia="PMingLiU" w:hAnsi="宋体" w:cs="宋体" w:hint="eastAsia"/>
          <w:b/>
          <w:kern w:val="0"/>
          <w:sz w:val="24"/>
          <w:szCs w:val="24"/>
          <w:lang w:eastAsia="zh-TW"/>
        </w:rPr>
        <w:t>考核主要形式：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以筆試和麵試相結合的形式進行。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筆試部分：學院統一組織英語筆試，主要考察考生英語閱讀、寫作能力。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面試部分：考察考生的知識結構、學習動機、科研背景和學術研究經歷，考核學生的外語聽力、口語能力和專業外文閱讀水準等，綜合評價考生的科學素養、個人品性、創新能力和培養潛力等，每生面試時間一般不少於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30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分鐘，其中考生以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PPT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報告時間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15—20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分鐘，每個面試小組成員不少於</w:t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> 5 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人，且要指派專門的秘書做錄音，筆錄等。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主要內容包括：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知識背景：本科、碩士階段學習成績、知識結構等；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科研能力：科研工作、論文發表、獲獎等情況、科研潛力；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外語水準：聽力、口語及專業外語水準；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綜合能力：創新、表達、合作精神、身體心理狀況、特長、專家推薦意見等；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實踐（實驗）能力考核：考察實驗和操作技能，或解決實際問題的能力；</w:t>
      </w:r>
      <w:r w:rsidR="00E704CE" w:rsidRPr="00E704CE">
        <w:rPr>
          <w:rFonts w:ascii="宋体" w:hAnsi="宋体" w:cs="宋体"/>
          <w:kern w:val="0"/>
          <w:sz w:val="24"/>
          <w:szCs w:val="24"/>
        </w:rPr>
        <w:br/>
      </w:r>
      <w:r w:rsidRPr="002320E5">
        <w:rPr>
          <w:rFonts w:ascii="宋体" w:eastAsia="PMingLiU" w:hAnsi="宋体" w:cs="宋体"/>
          <w:kern w:val="0"/>
          <w:sz w:val="24"/>
          <w:szCs w:val="24"/>
          <w:lang w:eastAsia="zh-TW"/>
        </w:rPr>
        <w:lastRenderedPageBreak/>
        <w:t xml:space="preserve">    </w:t>
      </w:r>
      <w:r w:rsidRPr="002320E5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專家組綜合評價：專家組根據考生分專業測試以及面試考核結果，判斷其從事科研的能力和培養前途等綜合素質，並給出考核成績及綜合評價。</w:t>
      </w:r>
    </w:p>
    <w:p w:rsidR="000855F3" w:rsidRPr="006051FA" w:rsidRDefault="002320E5" w:rsidP="004B0797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八、錄取：</w:t>
      </w:r>
    </w:p>
    <w:p w:rsidR="009F6FDC" w:rsidRPr="006051FA" w:rsidRDefault="002320E5" w:rsidP="002320E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院招生領導小組堅持貫徹公平公正、擇優選拔和寧缺毋濫的原則，根據專家考核組評定的考核成績，結合素質審核結果，綜合評價，擇優錄取，真正選拔出具有科研能力和創新潛質的高層次人才。</w:t>
      </w:r>
    </w:p>
    <w:p w:rsidR="004B0797" w:rsidRPr="002320E5" w:rsidRDefault="002320E5" w:rsidP="002320E5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bCs/>
          <w:kern w:val="0"/>
          <w:sz w:val="24"/>
          <w:szCs w:val="24"/>
          <w:lang w:eastAsia="zh-TW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擬錄取結果由院招生領導小組審批、主管副院長簽字後，報校招生辦審核並提交校招生領導小組審批。經校招生領導小組審批後，在校招生辦和學院網站公佈擬錄取名單。正式錄取名單以福建省教育考試院和教育部錄檢通過後的結果為准。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九、聯繫方式：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</w:t>
      </w:r>
      <w:r w:rsidR="00597146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信息科學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與技術學院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海韻園行政樓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C306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研究生辦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聯繫電話：魏老師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 (0)592 2580019 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+86 (0)592 2580258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:http://information.xmu.edu.cn/     E-mail: </w:t>
      </w:r>
      <w:hyperlink r:id="rId9" w:history="1">
        <w:r w:rsidRPr="002320E5">
          <w:rPr>
            <w:rStyle w:val="a7"/>
            <w:rFonts w:eastAsia="PMingLiU"/>
            <w:color w:val="auto"/>
            <w:lang w:eastAsia="zh-TW"/>
          </w:rPr>
          <w:t>weihao@xmu.edu.cn</w:t>
        </w:r>
      </w:hyperlink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廈門大學招生辦公室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+86(0)592- 2188888 2187199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+86(0)592-2180256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hyperlink r:id="rId10" w:tgtFrame="_blank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http://zs.xmu.edu.cn</w:t>
        </w:r>
      </w:hyperlink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    E-mail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hyperlink r:id="rId11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zs@xmu.edu.cn</w:t>
        </w:r>
      </w:hyperlink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廈門大學考試中心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+86(0)592-2184166 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+86(0)592-2184117</w:t>
      </w:r>
    </w:p>
    <w:p w:rsidR="000855F3" w:rsidRPr="006051FA" w:rsidRDefault="002320E5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hyperlink r:id="rId12" w:tgtFrame="_blank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http://kszx .xmu.edu.cn</w:t>
        </w:r>
      </w:hyperlink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   E-mail: </w:t>
      </w:r>
      <w:hyperlink r:id="rId13" w:history="1">
        <w:r w:rsidRPr="002320E5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kszx@xmu.edu.cn</w:t>
        </w:r>
      </w:hyperlink>
    </w:p>
    <w:p w:rsidR="000855F3" w:rsidRPr="006051FA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0855F3" w:rsidRPr="006051FA" w:rsidRDefault="002320E5" w:rsidP="000855F3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廈門大學信息科學與技術學院</w:t>
      </w:r>
    </w:p>
    <w:p w:rsidR="0038416E" w:rsidRPr="006051FA" w:rsidRDefault="002320E5" w:rsidP="00DA55A1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lastRenderedPageBreak/>
        <w:t>2014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2320E5">
        <w:rPr>
          <w:rFonts w:ascii="Times New Roman" w:eastAsia="PMingLiU" w:hAnsi="Times New Roman"/>
          <w:kern w:val="0"/>
          <w:sz w:val="24"/>
          <w:szCs w:val="24"/>
          <w:lang w:eastAsia="zh-TW"/>
        </w:rPr>
        <w:t>11</w:t>
      </w:r>
      <w:r w:rsidRPr="002320E5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</w:p>
    <w:sectPr w:rsidR="0038416E" w:rsidRPr="006051FA" w:rsidSect="001662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02" w:rsidRDefault="00B14002" w:rsidP="008F56C1">
      <w:r>
        <w:separator/>
      </w:r>
    </w:p>
  </w:endnote>
  <w:endnote w:type="continuationSeparator" w:id="0">
    <w:p w:rsidR="00B14002" w:rsidRDefault="00B14002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46" w:rsidRDefault="005971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46" w:rsidRDefault="005971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46" w:rsidRDefault="005971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02" w:rsidRDefault="00B14002" w:rsidP="008F56C1">
      <w:r>
        <w:separator/>
      </w:r>
    </w:p>
  </w:footnote>
  <w:footnote w:type="continuationSeparator" w:id="0">
    <w:p w:rsidR="00B14002" w:rsidRDefault="00B14002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46" w:rsidRDefault="005971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B14002" w:rsidP="0059714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46" w:rsidRDefault="005971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3"/>
    <w:rsid w:val="000012A4"/>
    <w:rsid w:val="0000223E"/>
    <w:rsid w:val="00022270"/>
    <w:rsid w:val="000230EB"/>
    <w:rsid w:val="00023648"/>
    <w:rsid w:val="00027623"/>
    <w:rsid w:val="00030973"/>
    <w:rsid w:val="00033FA0"/>
    <w:rsid w:val="000408C5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A2180"/>
    <w:rsid w:val="000B5071"/>
    <w:rsid w:val="000C3665"/>
    <w:rsid w:val="000E3FE9"/>
    <w:rsid w:val="000E773C"/>
    <w:rsid w:val="00100A2B"/>
    <w:rsid w:val="00111C60"/>
    <w:rsid w:val="00131C6B"/>
    <w:rsid w:val="001333AE"/>
    <w:rsid w:val="00144667"/>
    <w:rsid w:val="001502EA"/>
    <w:rsid w:val="00152D3E"/>
    <w:rsid w:val="0016087F"/>
    <w:rsid w:val="001611D2"/>
    <w:rsid w:val="0016277E"/>
    <w:rsid w:val="00165571"/>
    <w:rsid w:val="0016623E"/>
    <w:rsid w:val="00167515"/>
    <w:rsid w:val="00171D62"/>
    <w:rsid w:val="001776DE"/>
    <w:rsid w:val="00196D9B"/>
    <w:rsid w:val="001A035E"/>
    <w:rsid w:val="001A0A60"/>
    <w:rsid w:val="001A209F"/>
    <w:rsid w:val="001B3FD9"/>
    <w:rsid w:val="001B46BE"/>
    <w:rsid w:val="001B69F2"/>
    <w:rsid w:val="001C2704"/>
    <w:rsid w:val="001C5A6A"/>
    <w:rsid w:val="001C6C3B"/>
    <w:rsid w:val="001D38D1"/>
    <w:rsid w:val="001E3544"/>
    <w:rsid w:val="001E41EA"/>
    <w:rsid w:val="001F0DBD"/>
    <w:rsid w:val="001F6812"/>
    <w:rsid w:val="002143D7"/>
    <w:rsid w:val="00230070"/>
    <w:rsid w:val="002320E5"/>
    <w:rsid w:val="00243AA3"/>
    <w:rsid w:val="0024567C"/>
    <w:rsid w:val="0024697D"/>
    <w:rsid w:val="002504C1"/>
    <w:rsid w:val="00261196"/>
    <w:rsid w:val="0026470D"/>
    <w:rsid w:val="00267A2F"/>
    <w:rsid w:val="002764AC"/>
    <w:rsid w:val="002867AD"/>
    <w:rsid w:val="00287CC4"/>
    <w:rsid w:val="00291E2D"/>
    <w:rsid w:val="00293DF7"/>
    <w:rsid w:val="0029794B"/>
    <w:rsid w:val="002A6B75"/>
    <w:rsid w:val="002B1171"/>
    <w:rsid w:val="002D3499"/>
    <w:rsid w:val="002E3CCE"/>
    <w:rsid w:val="002E5851"/>
    <w:rsid w:val="002F12EE"/>
    <w:rsid w:val="002F793A"/>
    <w:rsid w:val="002F7958"/>
    <w:rsid w:val="00307F47"/>
    <w:rsid w:val="003210A7"/>
    <w:rsid w:val="0032479C"/>
    <w:rsid w:val="0032516F"/>
    <w:rsid w:val="00332CC1"/>
    <w:rsid w:val="00334ADC"/>
    <w:rsid w:val="0034295C"/>
    <w:rsid w:val="00346A7A"/>
    <w:rsid w:val="00360628"/>
    <w:rsid w:val="003608B9"/>
    <w:rsid w:val="00371168"/>
    <w:rsid w:val="003775A3"/>
    <w:rsid w:val="003804D8"/>
    <w:rsid w:val="00383053"/>
    <w:rsid w:val="0038416E"/>
    <w:rsid w:val="003877A2"/>
    <w:rsid w:val="00390FEF"/>
    <w:rsid w:val="003922A5"/>
    <w:rsid w:val="0039458F"/>
    <w:rsid w:val="00395686"/>
    <w:rsid w:val="003959F7"/>
    <w:rsid w:val="003A00B7"/>
    <w:rsid w:val="003A3611"/>
    <w:rsid w:val="003A68B1"/>
    <w:rsid w:val="003B5C64"/>
    <w:rsid w:val="003B6701"/>
    <w:rsid w:val="003D16EC"/>
    <w:rsid w:val="003D47EF"/>
    <w:rsid w:val="003E2D35"/>
    <w:rsid w:val="003E3E45"/>
    <w:rsid w:val="0040006A"/>
    <w:rsid w:val="00404522"/>
    <w:rsid w:val="00404CE3"/>
    <w:rsid w:val="004075D7"/>
    <w:rsid w:val="00410529"/>
    <w:rsid w:val="004155BC"/>
    <w:rsid w:val="004202CF"/>
    <w:rsid w:val="00425589"/>
    <w:rsid w:val="00433621"/>
    <w:rsid w:val="00435B19"/>
    <w:rsid w:val="00436348"/>
    <w:rsid w:val="004454DF"/>
    <w:rsid w:val="004511A1"/>
    <w:rsid w:val="00452A76"/>
    <w:rsid w:val="0045676D"/>
    <w:rsid w:val="004610BF"/>
    <w:rsid w:val="0046240D"/>
    <w:rsid w:val="00484E39"/>
    <w:rsid w:val="004A0E7E"/>
    <w:rsid w:val="004B0797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80713"/>
    <w:rsid w:val="00585946"/>
    <w:rsid w:val="00587678"/>
    <w:rsid w:val="005959AD"/>
    <w:rsid w:val="00597146"/>
    <w:rsid w:val="005A461F"/>
    <w:rsid w:val="005B4717"/>
    <w:rsid w:val="005C7E50"/>
    <w:rsid w:val="005D05D4"/>
    <w:rsid w:val="005E30AD"/>
    <w:rsid w:val="005E7767"/>
    <w:rsid w:val="005F35DF"/>
    <w:rsid w:val="005F6ED4"/>
    <w:rsid w:val="006051FA"/>
    <w:rsid w:val="006067E5"/>
    <w:rsid w:val="0061098D"/>
    <w:rsid w:val="00610E3B"/>
    <w:rsid w:val="006224FA"/>
    <w:rsid w:val="00625FD2"/>
    <w:rsid w:val="00634A2B"/>
    <w:rsid w:val="00636276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24EA"/>
    <w:rsid w:val="006A4F4B"/>
    <w:rsid w:val="006B2F12"/>
    <w:rsid w:val="006B4B8C"/>
    <w:rsid w:val="006B6212"/>
    <w:rsid w:val="006C5C33"/>
    <w:rsid w:val="006D03CE"/>
    <w:rsid w:val="006D75CA"/>
    <w:rsid w:val="00724916"/>
    <w:rsid w:val="0075171D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75F8"/>
    <w:rsid w:val="00822473"/>
    <w:rsid w:val="00825B00"/>
    <w:rsid w:val="008267C4"/>
    <w:rsid w:val="00840D91"/>
    <w:rsid w:val="008417B3"/>
    <w:rsid w:val="00851ED0"/>
    <w:rsid w:val="00855EEA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6722"/>
    <w:rsid w:val="008F4C90"/>
    <w:rsid w:val="008F5390"/>
    <w:rsid w:val="008F56C1"/>
    <w:rsid w:val="008F7B31"/>
    <w:rsid w:val="0090146D"/>
    <w:rsid w:val="0090501C"/>
    <w:rsid w:val="00910FA4"/>
    <w:rsid w:val="00913F09"/>
    <w:rsid w:val="00917CCC"/>
    <w:rsid w:val="00937A89"/>
    <w:rsid w:val="00944E8A"/>
    <w:rsid w:val="009537A6"/>
    <w:rsid w:val="00961F05"/>
    <w:rsid w:val="00970FFF"/>
    <w:rsid w:val="0097337A"/>
    <w:rsid w:val="00975A93"/>
    <w:rsid w:val="0098410A"/>
    <w:rsid w:val="00993C36"/>
    <w:rsid w:val="009A1585"/>
    <w:rsid w:val="009A344E"/>
    <w:rsid w:val="009A39C5"/>
    <w:rsid w:val="009B5D59"/>
    <w:rsid w:val="009C086A"/>
    <w:rsid w:val="009D5101"/>
    <w:rsid w:val="009D720D"/>
    <w:rsid w:val="009D7B6E"/>
    <w:rsid w:val="009D7C91"/>
    <w:rsid w:val="009D7F23"/>
    <w:rsid w:val="009E2AA8"/>
    <w:rsid w:val="009F6FDC"/>
    <w:rsid w:val="00A01019"/>
    <w:rsid w:val="00A12FEA"/>
    <w:rsid w:val="00A1305C"/>
    <w:rsid w:val="00A1400C"/>
    <w:rsid w:val="00A16CF5"/>
    <w:rsid w:val="00A4180D"/>
    <w:rsid w:val="00A46225"/>
    <w:rsid w:val="00A57CDB"/>
    <w:rsid w:val="00A66307"/>
    <w:rsid w:val="00A81D61"/>
    <w:rsid w:val="00A8485C"/>
    <w:rsid w:val="00A95734"/>
    <w:rsid w:val="00A96126"/>
    <w:rsid w:val="00A97BC8"/>
    <w:rsid w:val="00AA16D1"/>
    <w:rsid w:val="00AB475A"/>
    <w:rsid w:val="00AB5528"/>
    <w:rsid w:val="00AC098D"/>
    <w:rsid w:val="00AD5D28"/>
    <w:rsid w:val="00AD7C27"/>
    <w:rsid w:val="00AE004A"/>
    <w:rsid w:val="00AE31C4"/>
    <w:rsid w:val="00AF3FCB"/>
    <w:rsid w:val="00AF4F07"/>
    <w:rsid w:val="00AF7799"/>
    <w:rsid w:val="00B12E02"/>
    <w:rsid w:val="00B140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DD0"/>
    <w:rsid w:val="00B804C2"/>
    <w:rsid w:val="00B86ED5"/>
    <w:rsid w:val="00B90512"/>
    <w:rsid w:val="00B94050"/>
    <w:rsid w:val="00B97C31"/>
    <w:rsid w:val="00BC07DF"/>
    <w:rsid w:val="00BD140A"/>
    <w:rsid w:val="00BD2526"/>
    <w:rsid w:val="00BF4F6A"/>
    <w:rsid w:val="00C15ED1"/>
    <w:rsid w:val="00C2698C"/>
    <w:rsid w:val="00C311C3"/>
    <w:rsid w:val="00C31F37"/>
    <w:rsid w:val="00C429A8"/>
    <w:rsid w:val="00C450BF"/>
    <w:rsid w:val="00C47819"/>
    <w:rsid w:val="00C52F74"/>
    <w:rsid w:val="00C608E2"/>
    <w:rsid w:val="00C63F1B"/>
    <w:rsid w:val="00C74533"/>
    <w:rsid w:val="00C76BDE"/>
    <w:rsid w:val="00C7719C"/>
    <w:rsid w:val="00C810D6"/>
    <w:rsid w:val="00C837BB"/>
    <w:rsid w:val="00C8575B"/>
    <w:rsid w:val="00C92FE2"/>
    <w:rsid w:val="00C93A88"/>
    <w:rsid w:val="00C9400D"/>
    <w:rsid w:val="00CA11AD"/>
    <w:rsid w:val="00CA177B"/>
    <w:rsid w:val="00CA2CEE"/>
    <w:rsid w:val="00CB7607"/>
    <w:rsid w:val="00CD0449"/>
    <w:rsid w:val="00CE0811"/>
    <w:rsid w:val="00CE1B25"/>
    <w:rsid w:val="00CE5ABE"/>
    <w:rsid w:val="00CE5FE1"/>
    <w:rsid w:val="00CF0338"/>
    <w:rsid w:val="00D01465"/>
    <w:rsid w:val="00D04443"/>
    <w:rsid w:val="00D13193"/>
    <w:rsid w:val="00D138C1"/>
    <w:rsid w:val="00D15483"/>
    <w:rsid w:val="00D313A3"/>
    <w:rsid w:val="00D366C0"/>
    <w:rsid w:val="00D53747"/>
    <w:rsid w:val="00D55DB0"/>
    <w:rsid w:val="00D578BB"/>
    <w:rsid w:val="00D62CAE"/>
    <w:rsid w:val="00D726F6"/>
    <w:rsid w:val="00D74C8E"/>
    <w:rsid w:val="00D80C05"/>
    <w:rsid w:val="00D82C0D"/>
    <w:rsid w:val="00DA2AF3"/>
    <w:rsid w:val="00DA55A1"/>
    <w:rsid w:val="00DB174A"/>
    <w:rsid w:val="00DC1CC3"/>
    <w:rsid w:val="00DC3D14"/>
    <w:rsid w:val="00DD20ED"/>
    <w:rsid w:val="00DD4141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49CB"/>
    <w:rsid w:val="00E613BC"/>
    <w:rsid w:val="00E62086"/>
    <w:rsid w:val="00E641BA"/>
    <w:rsid w:val="00E704CE"/>
    <w:rsid w:val="00E759AD"/>
    <w:rsid w:val="00E844D7"/>
    <w:rsid w:val="00EA6182"/>
    <w:rsid w:val="00EA6B4B"/>
    <w:rsid w:val="00EC02EF"/>
    <w:rsid w:val="00EC3AEA"/>
    <w:rsid w:val="00ED1988"/>
    <w:rsid w:val="00EE0112"/>
    <w:rsid w:val="00EE1425"/>
    <w:rsid w:val="00EE6EB0"/>
    <w:rsid w:val="00EF3C9C"/>
    <w:rsid w:val="00EF55A4"/>
    <w:rsid w:val="00F027BA"/>
    <w:rsid w:val="00F02E09"/>
    <w:rsid w:val="00F05477"/>
    <w:rsid w:val="00F11EF4"/>
    <w:rsid w:val="00F14C5E"/>
    <w:rsid w:val="00F2728D"/>
    <w:rsid w:val="00F32FA3"/>
    <w:rsid w:val="00F3316D"/>
    <w:rsid w:val="00F41CF4"/>
    <w:rsid w:val="00F53CD5"/>
    <w:rsid w:val="00F55A49"/>
    <w:rsid w:val="00F60429"/>
    <w:rsid w:val="00F712EC"/>
    <w:rsid w:val="00F73842"/>
    <w:rsid w:val="00F828A1"/>
    <w:rsid w:val="00F833F3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61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536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0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5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yperlink" Target="mailto:kszx@xmu.edu.c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e.xmu.edu.cn/announcements/2013-12-03-13445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@xm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sb.xmu.edu.c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weihao@xmu.edu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565</Words>
  <Characters>3227</Characters>
  <Application>Microsoft Office Word</Application>
  <DocSecurity>0</DocSecurity>
  <Lines>26</Lines>
  <Paragraphs>7</Paragraphs>
  <ScaleCrop>false</ScaleCrop>
  <Company>微软中国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40</cp:revision>
  <dcterms:created xsi:type="dcterms:W3CDTF">2014-11-18T01:00:00Z</dcterms:created>
  <dcterms:modified xsi:type="dcterms:W3CDTF">2014-12-25T08:51:00Z</dcterms:modified>
</cp:coreProperties>
</file>